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C2954" w14:textId="651EFA51" w:rsidR="000E1428" w:rsidRDefault="000E1428" w:rsidP="00094B6E">
      <w:pPr>
        <w:ind w:firstLine="708"/>
        <w:jc w:val="both"/>
      </w:pPr>
      <w:r>
        <w:rPr>
          <w:noProof/>
          <w:lang w:val="en-US"/>
        </w:rPr>
        <w:drawing>
          <wp:inline distT="0" distB="0" distL="0" distR="0" wp14:anchorId="556779C1" wp14:editId="63BB4D8F">
            <wp:extent cx="4153710" cy="2334385"/>
            <wp:effectExtent l="0" t="0" r="0" b="8890"/>
            <wp:docPr id="120668870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6465" cy="2335933"/>
                    </a:xfrm>
                    <a:prstGeom prst="rect">
                      <a:avLst/>
                    </a:prstGeom>
                    <a:noFill/>
                  </pic:spPr>
                </pic:pic>
              </a:graphicData>
            </a:graphic>
          </wp:inline>
        </w:drawing>
      </w:r>
    </w:p>
    <w:p w14:paraId="7B19B2C5" w14:textId="77777777" w:rsidR="000E1428" w:rsidRPr="000E1428" w:rsidRDefault="000E1428" w:rsidP="00094B6E">
      <w:pPr>
        <w:ind w:firstLine="708"/>
        <w:jc w:val="both"/>
      </w:pPr>
    </w:p>
    <w:p w14:paraId="49D6BE1E" w14:textId="196150E8" w:rsidR="000E1428" w:rsidRPr="000E1428" w:rsidRDefault="000E1428" w:rsidP="000E1428">
      <w:pPr>
        <w:jc w:val="center"/>
      </w:pPr>
      <w:r>
        <w:t>Переходные положения классификации в сфере туристской индустрии</w:t>
      </w:r>
    </w:p>
    <w:p w14:paraId="7F3DB1E4" w14:textId="169AC07A" w:rsidR="00094B6E" w:rsidRDefault="00094B6E" w:rsidP="00094B6E">
      <w:pPr>
        <w:ind w:firstLine="708"/>
        <w:jc w:val="both"/>
      </w:pPr>
      <w:r>
        <w:t xml:space="preserve">В соответствии с требованиями законодательства сообщаем о необходимости внесения информации о средствах размещения в Единый реестр классифицированных средств размещения (далее – Реестр) в срок до 1 марта 2025 года и прохождения классификации объектов размещения в срок до 1 сентября 2025 года. </w:t>
      </w:r>
    </w:p>
    <w:p w14:paraId="7DDABAC9" w14:textId="77777777" w:rsidR="00094B6E" w:rsidRDefault="00094B6E" w:rsidP="00094B6E">
      <w:pPr>
        <w:ind w:firstLine="708"/>
        <w:jc w:val="both"/>
      </w:pPr>
      <w:r>
        <w:t>В случае отсутствия в Реестре сведений об объекте и подтверждении информации о предоставление гостиничных услуг на объекте, деятельность средства размещения будет приостанавливаться до дня внесения соответствующих сведений в Реестр.</w:t>
      </w:r>
    </w:p>
    <w:p w14:paraId="318E0DEF" w14:textId="77777777" w:rsidR="00094B6E" w:rsidRDefault="00094B6E" w:rsidP="00094B6E">
      <w:pPr>
        <w:ind w:firstLine="708"/>
        <w:jc w:val="both"/>
      </w:pPr>
      <w:r>
        <w:t xml:space="preserve">Согласно закону от 30.11.2024 г. № 436-ФЗ «О внесении изменений в Федеральный закон «Об основах туристской деятельности в Российской Федерации» и постановлению Правительства РФ от 27.12.2024 г. № 1951 «Об утверждении Положения о классификации гостиниц» классификации подлежат гостиницы, санатории, базы отдыха, кемпинги, </w:t>
      </w:r>
      <w:proofErr w:type="spellStart"/>
      <w:r>
        <w:t>глэмпинги</w:t>
      </w:r>
      <w:proofErr w:type="spellEnd"/>
      <w:r>
        <w:t xml:space="preserve"> и модульные гостиницы. </w:t>
      </w:r>
    </w:p>
    <w:p w14:paraId="2C31F079" w14:textId="77777777" w:rsidR="00094B6E" w:rsidRDefault="00094B6E" w:rsidP="00094B6E">
      <w:pPr>
        <w:ind w:firstLine="708"/>
        <w:jc w:val="both"/>
      </w:pPr>
      <w:r>
        <w:t xml:space="preserve">Исключение составляют средства размещения, используемые организациями отдыха и оздоровления детей, централизованными религиозными организациями, а также фермерскими хозяйствами при оказании услуг в сфере сельского туризма. </w:t>
      </w:r>
    </w:p>
    <w:p w14:paraId="448506B2" w14:textId="77777777" w:rsidR="00094B6E" w:rsidRDefault="00094B6E" w:rsidP="00094B6E">
      <w:pPr>
        <w:ind w:firstLine="708"/>
        <w:jc w:val="both"/>
      </w:pPr>
      <w:r>
        <w:t xml:space="preserve">Средствам размещения, имеющим действующее на 1 января 2025 года свидетельство о классификации необходимо до 1 сентября 2025 года, </w:t>
      </w:r>
    </w:p>
    <w:p w14:paraId="511A57BA" w14:textId="77777777" w:rsidR="00094B6E" w:rsidRDefault="00094B6E" w:rsidP="00094B6E">
      <w:pPr>
        <w:ind w:firstLine="708"/>
        <w:jc w:val="both"/>
      </w:pPr>
      <w:r>
        <w:t xml:space="preserve">но не позднее дня окончания действия свидетельства о классификации: проверить наличие объекта в Реестр по ссылке: </w:t>
      </w:r>
      <w:proofErr w:type="gramStart"/>
      <w:r>
        <w:t>https://clck.ru/3Frrnk ;</w:t>
      </w:r>
      <w:proofErr w:type="gramEnd"/>
      <w:r>
        <w:t xml:space="preserve"> </w:t>
      </w:r>
    </w:p>
    <w:p w14:paraId="0CF69571" w14:textId="77777777" w:rsidR="00094B6E" w:rsidRDefault="00094B6E" w:rsidP="00094B6E">
      <w:pPr>
        <w:ind w:firstLine="708"/>
        <w:jc w:val="both"/>
      </w:pPr>
      <w:r>
        <w:t xml:space="preserve">в случае отсутствия информации о Вашем объекте размещение, прекращении действия свидетельства о классификации, необходимо авторизоваться через ЕСИА на платформе Гостеприимство (tourism.fsa.gov.ru) для входа в личный кабинет и пройти процедуру самооценки. </w:t>
      </w:r>
    </w:p>
    <w:p w14:paraId="3F8CE3B7" w14:textId="77777777" w:rsidR="00094B6E" w:rsidRDefault="00094B6E" w:rsidP="00094B6E">
      <w:pPr>
        <w:ind w:firstLine="708"/>
        <w:jc w:val="both"/>
      </w:pPr>
      <w:r>
        <w:t xml:space="preserve">Ссылка на видеоинструкцию по прохождению самооценки объекта: </w:t>
      </w:r>
      <w:proofErr w:type="gramStart"/>
      <w:r>
        <w:t>https://clck.ru/3FrrvN ;</w:t>
      </w:r>
      <w:proofErr w:type="gramEnd"/>
      <w:r>
        <w:t xml:space="preserve"> </w:t>
      </w:r>
    </w:p>
    <w:p w14:paraId="394844FB" w14:textId="77777777" w:rsidR="00094B6E" w:rsidRDefault="00094B6E" w:rsidP="00094B6E">
      <w:pPr>
        <w:ind w:firstLine="708"/>
        <w:jc w:val="both"/>
      </w:pPr>
      <w:r>
        <w:lastRenderedPageBreak/>
        <w:t xml:space="preserve">пройти классификацию соответствия средства размещения заявленной категории («звездности») и внести результаты оценки в Реестр. Указанная оценка проводится аккредитованными организациями. </w:t>
      </w:r>
    </w:p>
    <w:p w14:paraId="06A5BD65" w14:textId="1D59F4AD" w:rsidR="00094B6E" w:rsidRDefault="00094B6E" w:rsidP="00094B6E">
      <w:pPr>
        <w:ind w:firstLine="708"/>
        <w:jc w:val="both"/>
      </w:pPr>
      <w:r>
        <w:t xml:space="preserve">2. Средствам размещения, не проходившим классификацию (базы отдыха, </w:t>
      </w:r>
      <w:proofErr w:type="spellStart"/>
      <w:r>
        <w:t>глэмпинги</w:t>
      </w:r>
      <w:proofErr w:type="spellEnd"/>
      <w:r>
        <w:t xml:space="preserve">, кемпинги, модульные гостиницы и прочее), необходимо в срок до 1 марта 2025 года: зарегистрировать адрес средства размещения в государственном адресном реестре Федеральной информационной адресной системы согласно инструкции – </w:t>
      </w:r>
      <w:hyperlink r:id="rId5" w:history="1">
        <w:r w:rsidRPr="00E66E0A">
          <w:rPr>
            <w:rStyle w:val="ac"/>
          </w:rPr>
          <w:t>https://fsa.gov.ru/documents/22341/</w:t>
        </w:r>
      </w:hyperlink>
      <w:r>
        <w:t>;</w:t>
      </w:r>
    </w:p>
    <w:p w14:paraId="71F72A32" w14:textId="77777777" w:rsidR="00094B6E" w:rsidRDefault="00094B6E" w:rsidP="00094B6E">
      <w:pPr>
        <w:ind w:firstLine="708"/>
        <w:jc w:val="both"/>
      </w:pPr>
      <w:r>
        <w:t xml:space="preserve"> авторизоваться через ЕСИА на платформе Гостеприимство (tourism.fsa.gov.ru) для входа в личный кабинет и пройти процедуру самооценки. </w:t>
      </w:r>
    </w:p>
    <w:p w14:paraId="44D1A4A9" w14:textId="77777777" w:rsidR="00094B6E" w:rsidRDefault="00094B6E" w:rsidP="00094B6E">
      <w:pPr>
        <w:ind w:firstLine="708"/>
        <w:jc w:val="both"/>
      </w:pPr>
      <w:r>
        <w:t xml:space="preserve">Ссылка на видеоинструкцию по прохождению самооценки объекта: </w:t>
      </w:r>
      <w:proofErr w:type="gramStart"/>
      <w:r>
        <w:t>https://clck.ru/3FrrvN ;</w:t>
      </w:r>
      <w:proofErr w:type="gramEnd"/>
    </w:p>
    <w:p w14:paraId="4CFC9038" w14:textId="77777777" w:rsidR="00094B6E" w:rsidRDefault="00094B6E" w:rsidP="00094B6E">
      <w:pPr>
        <w:ind w:firstLine="708"/>
        <w:jc w:val="both"/>
      </w:pPr>
      <w:r>
        <w:t xml:space="preserve"> до 1 сентября 2025 года пройти классификацию соответствия средства размещения заявленной категории («звездности») и внести результаты оценки в Реестр. Указанная оценка проводится аккредитованными организациями. </w:t>
      </w:r>
    </w:p>
    <w:p w14:paraId="7234CBE4" w14:textId="77777777" w:rsidR="00094B6E" w:rsidRDefault="00094B6E" w:rsidP="00094B6E">
      <w:pPr>
        <w:ind w:firstLine="708"/>
        <w:jc w:val="both"/>
      </w:pPr>
      <w:r>
        <w:t xml:space="preserve">Перечень аккредитованных организаций, осуществляющих классификацию гостиниц, классификацию горнолыжных трасс, классификацию пляжей размещен по ссылке: </w:t>
      </w:r>
      <w:proofErr w:type="gramStart"/>
      <w:r>
        <w:t>https://clck.ru/3Frs4g .</w:t>
      </w:r>
      <w:proofErr w:type="gramEnd"/>
      <w:r>
        <w:t xml:space="preserve"> </w:t>
      </w:r>
    </w:p>
    <w:p w14:paraId="3D8EC440" w14:textId="77777777" w:rsidR="00094B6E" w:rsidRDefault="00094B6E" w:rsidP="00094B6E">
      <w:pPr>
        <w:ind w:firstLine="708"/>
        <w:jc w:val="both"/>
      </w:pPr>
      <w:r>
        <w:t xml:space="preserve">Также сообщаем о необходимости соблюдения требований антитеррористической защищённости объектов согласно постановлению Правительства Российской Федерации от 14.04.2017 № 447 «Об утверждении требований к антитеррористической защищенности гостиниц и иных средств размещения и формы паспорта безопасности этих объектов».    </w:t>
      </w:r>
    </w:p>
    <w:p w14:paraId="3BA4593D" w14:textId="77777777" w:rsidR="00094B6E" w:rsidRDefault="00094B6E" w:rsidP="00094B6E">
      <w:pPr>
        <w:ind w:firstLine="708"/>
        <w:jc w:val="both"/>
      </w:pPr>
      <w:r>
        <w:t xml:space="preserve">Гостиничным предприятиям необходимо для проведения категорирования самостоятельно организовать комиссию на предмет состояния её антитеррористической защищённости. Для комиссии могут привлекаться по согласованию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гостиницы. </w:t>
      </w:r>
    </w:p>
    <w:p w14:paraId="46DEB446" w14:textId="77777777" w:rsidR="00094B6E" w:rsidRDefault="00094B6E" w:rsidP="00094B6E">
      <w:pPr>
        <w:ind w:firstLine="708"/>
        <w:jc w:val="both"/>
      </w:pPr>
      <w:r>
        <w:t>После проведения обследования, комиссией составляется паспорт безопасности объекта, за исключением гостиниц, отнесенных к четвертой категории опасности (гостиницы, в результате совершения террористического акта на территории которых прогнозируемое количество пострадавших составит менее 50 человек).</w:t>
      </w:r>
    </w:p>
    <w:p w14:paraId="16604D62" w14:textId="3D20FDEF" w:rsidR="00487EF7" w:rsidRDefault="00094B6E" w:rsidP="00094B6E">
      <w:pPr>
        <w:ind w:firstLine="708"/>
        <w:jc w:val="both"/>
      </w:pPr>
      <w:r>
        <w:t xml:space="preserve"> </w:t>
      </w:r>
      <w:r w:rsidR="006D40FE">
        <w:t>Приложение № 1</w:t>
      </w:r>
    </w:p>
    <w:p w14:paraId="56A05C6C" w14:textId="77777777" w:rsidR="00301A0C" w:rsidRDefault="00301A0C" w:rsidP="00094B6E">
      <w:pPr>
        <w:ind w:firstLine="708"/>
        <w:jc w:val="both"/>
      </w:pPr>
    </w:p>
    <w:p w14:paraId="4EB237FD" w14:textId="77777777" w:rsidR="00301A0C" w:rsidRDefault="00301A0C" w:rsidP="00094B6E">
      <w:pPr>
        <w:ind w:firstLine="708"/>
        <w:jc w:val="both"/>
      </w:pPr>
    </w:p>
    <w:p w14:paraId="0B599AA4" w14:textId="77777777" w:rsidR="00301A0C" w:rsidRDefault="00301A0C" w:rsidP="00A168B0">
      <w:pPr>
        <w:jc w:val="both"/>
      </w:pPr>
    </w:p>
    <w:sectPr w:rsidR="00301A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EF7"/>
    <w:rsid w:val="00094B6E"/>
    <w:rsid w:val="000E1428"/>
    <w:rsid w:val="00301A0C"/>
    <w:rsid w:val="00487EF7"/>
    <w:rsid w:val="005E6792"/>
    <w:rsid w:val="006D40FE"/>
    <w:rsid w:val="00A16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0BE1"/>
  <w15:chartTrackingRefBased/>
  <w15:docId w15:val="{651F76BF-CDD1-4655-A11A-88838A1E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87E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487E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87EF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87EF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87EF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87EF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87EF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87EF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87EF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EF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487EF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87EF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87EF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87EF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87E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87EF7"/>
    <w:rPr>
      <w:rFonts w:eastAsiaTheme="majorEastAsia" w:cstheme="majorBidi"/>
      <w:color w:val="595959" w:themeColor="text1" w:themeTint="A6"/>
    </w:rPr>
  </w:style>
  <w:style w:type="character" w:customStyle="1" w:styleId="80">
    <w:name w:val="Заголовок 8 Знак"/>
    <w:basedOn w:val="a0"/>
    <w:link w:val="8"/>
    <w:uiPriority w:val="9"/>
    <w:semiHidden/>
    <w:rsid w:val="00487E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87EF7"/>
    <w:rPr>
      <w:rFonts w:eastAsiaTheme="majorEastAsia" w:cstheme="majorBidi"/>
      <w:color w:val="272727" w:themeColor="text1" w:themeTint="D8"/>
    </w:rPr>
  </w:style>
  <w:style w:type="paragraph" w:styleId="a3">
    <w:name w:val="Title"/>
    <w:basedOn w:val="a"/>
    <w:next w:val="a"/>
    <w:link w:val="a4"/>
    <w:uiPriority w:val="10"/>
    <w:qFormat/>
    <w:rsid w:val="00487E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87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7EF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87E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87EF7"/>
    <w:pPr>
      <w:spacing w:before="160"/>
      <w:jc w:val="center"/>
    </w:pPr>
    <w:rPr>
      <w:i/>
      <w:iCs/>
      <w:color w:val="404040" w:themeColor="text1" w:themeTint="BF"/>
    </w:rPr>
  </w:style>
  <w:style w:type="character" w:customStyle="1" w:styleId="22">
    <w:name w:val="Цитата 2 Знак"/>
    <w:basedOn w:val="a0"/>
    <w:link w:val="21"/>
    <w:uiPriority w:val="29"/>
    <w:rsid w:val="00487EF7"/>
    <w:rPr>
      <w:i/>
      <w:iCs/>
      <w:color w:val="404040" w:themeColor="text1" w:themeTint="BF"/>
    </w:rPr>
  </w:style>
  <w:style w:type="paragraph" w:styleId="a7">
    <w:name w:val="List Paragraph"/>
    <w:basedOn w:val="a"/>
    <w:uiPriority w:val="34"/>
    <w:qFormat/>
    <w:rsid w:val="00487EF7"/>
    <w:pPr>
      <w:ind w:left="720"/>
      <w:contextualSpacing/>
    </w:pPr>
  </w:style>
  <w:style w:type="character" w:styleId="a8">
    <w:name w:val="Intense Emphasis"/>
    <w:basedOn w:val="a0"/>
    <w:uiPriority w:val="21"/>
    <w:qFormat/>
    <w:rsid w:val="00487EF7"/>
    <w:rPr>
      <w:i/>
      <w:iCs/>
      <w:color w:val="2F5496" w:themeColor="accent1" w:themeShade="BF"/>
    </w:rPr>
  </w:style>
  <w:style w:type="paragraph" w:styleId="a9">
    <w:name w:val="Intense Quote"/>
    <w:basedOn w:val="a"/>
    <w:next w:val="a"/>
    <w:link w:val="aa"/>
    <w:uiPriority w:val="30"/>
    <w:qFormat/>
    <w:rsid w:val="00487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87EF7"/>
    <w:rPr>
      <w:i/>
      <w:iCs/>
      <w:color w:val="2F5496" w:themeColor="accent1" w:themeShade="BF"/>
    </w:rPr>
  </w:style>
  <w:style w:type="character" w:styleId="ab">
    <w:name w:val="Intense Reference"/>
    <w:basedOn w:val="a0"/>
    <w:uiPriority w:val="32"/>
    <w:qFormat/>
    <w:rsid w:val="00487EF7"/>
    <w:rPr>
      <w:b/>
      <w:bCs/>
      <w:smallCaps/>
      <w:color w:val="2F5496" w:themeColor="accent1" w:themeShade="BF"/>
      <w:spacing w:val="5"/>
    </w:rPr>
  </w:style>
  <w:style w:type="character" w:styleId="ac">
    <w:name w:val="Hyperlink"/>
    <w:basedOn w:val="a0"/>
    <w:uiPriority w:val="99"/>
    <w:unhideWhenUsed/>
    <w:rsid w:val="00094B6E"/>
    <w:rPr>
      <w:color w:val="0563C1" w:themeColor="hyperlink"/>
      <w:u w:val="single"/>
    </w:rPr>
  </w:style>
  <w:style w:type="character" w:styleId="ad">
    <w:name w:val="Unresolved Mention"/>
    <w:basedOn w:val="a0"/>
    <w:uiPriority w:val="99"/>
    <w:semiHidden/>
    <w:unhideWhenUsed/>
    <w:rsid w:val="00094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8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sa.gov.ru/documents/22341/"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ARBMKK</cp:lastModifiedBy>
  <cp:revision>5</cp:revision>
  <cp:lastPrinted>2025-03-03T05:19:00Z</cp:lastPrinted>
  <dcterms:created xsi:type="dcterms:W3CDTF">2025-03-03T04:35:00Z</dcterms:created>
  <dcterms:modified xsi:type="dcterms:W3CDTF">2025-03-03T08:55:00Z</dcterms:modified>
</cp:coreProperties>
</file>